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Bdr>
          <w:top w:val="single" w:color="1B3A6B" w:sz="48" w:space="0"/>
        </w:pBdr>
        <w:spacing w:after="0" w:before="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40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0"/>
        <w:jc w:val="center"/>
      </w:pPr>
      <w:r>
        <w:rPr>
          <w:rFonts w:ascii="Calibri" w:cs="Calibri" w:eastAsia="Calibri" w:hAnsi="Calibri"/>
          <w:b/>
          <w:bCs/>
          <w:i w:val="false"/>
          <w:iCs w:val="false"/>
          <w:color w:val="1B3A6B"/>
          <w:sz w:val="56"/>
          <w:szCs w:val="56"/>
        </w:rPr>
        <w:t xml:space="preserve">Serebrovasküler Olay</w:t>
      </w:r>
    </w:p>
    <w:p>
      <w:pPr>
        <w:spacing w:after="160" w:before="0"/>
        <w:jc w:val="center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42"/>
          <w:szCs w:val="42"/>
        </w:rPr>
        <w:t xml:space="preserve">(SVO / İNME)</w:t>
      </w:r>
    </w:p>
    <w:p>
      <w:pPr>
        <w:pBdr>
          <w:bottom w:val="single" w:color="4A90D9" w:sz="8" w:space="4"/>
        </w:pBdr>
        <w:spacing w:after="160" w:before="0"/>
        <w:jc w:val="center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400" w:before="0"/>
        <w:jc w:val="center"/>
      </w:pPr>
      <w:r>
        <w:rPr>
          <w:rFonts w:ascii="Calibri" w:cs="Calibri" w:eastAsia="Calibri" w:hAnsi="Calibri"/>
          <w:b w:val="false"/>
          <w:bCs w:val="false"/>
          <w:i/>
          <w:iCs/>
          <w:color w:val="718096"/>
          <w:sz w:val="28"/>
          <w:szCs w:val="28"/>
        </w:rPr>
        <w:t xml:space="preserve">Kapsamlı Klinik Referans Dokümantasyonu</w:t>
      </w:r>
    </w:p>
    <w:tbl>
      <w:tblPr>
        <w:tblW w:type="dxa" w:w="6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</w:tblGrid>
      <w:tr>
        <w:tc>
          <w:tcPr>
            <w:tcW w:type="dxa" w:w="6000"/>
            <w:tcBorders>
              <w:top w:val="single" w:color="1B3A6B" w:sz="6"/>
              <w:left w:val="single" w:color="1B3A6B" w:sz="16"/>
              <w:bottom w:val="single" w:color="CBD5E0" w:sz="1"/>
              <w:right w:val="single" w:color="CBD5E0" w:sz="1"/>
            </w:tcBorders>
            <w:shd w:fill="F7FAFC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pPr>
              <w:spacing w:after="40" w:before="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A0AEC0"/>
                <w:sz w:val="20"/>
                <w:szCs w:val="20"/>
              </w:rPr>
              <w:t xml:space="preserve">Hazırlayan</w:t>
            </w:r>
          </w:p>
          <w:p>
            <w:pPr>
              <w:spacing w:after="80" w:before="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8"/>
                <w:szCs w:val="28"/>
              </w:rPr>
              <w:t xml:space="preserve">Dr. Ömer Aslankan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718096"/>
                <w:sz w:val="22"/>
                <w:szCs w:val="22"/>
              </w:rPr>
              <w:t xml:space="preserve">Nöroloji — Serebrovasküler Hastalıklar</w:t>
            </w:r>
          </w:p>
        </w:tc>
      </w:tr>
    </w:tbl>
    <w:p>
      <w:pPr>
        <w:spacing w:after="80" w:before="40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0"/>
        <w:jc w:val="center"/>
      </w:pPr>
      <w:r>
        <w:rPr>
          <w:rFonts w:ascii="Calibri" w:cs="Calibri" w:eastAsia="Calibri" w:hAnsi="Calibri"/>
          <w:b/>
          <w:bCs/>
          <w:i w:val="false"/>
          <w:iCs w:val="false"/>
          <w:color w:val="1B3A6B"/>
          <w:sz w:val="24"/>
          <w:szCs w:val="24"/>
        </w:rPr>
        <w:t xml:space="preserve">Kapsam Özeti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00"/>
        <w:gridCol w:w="2300"/>
        <w:gridCol w:w="2300"/>
        <w:gridCol w:w="2300"/>
      </w:tblGrid>
      <w:tr>
        <w:tc>
          <w:tcPr>
            <w:tcW w:type="dxa" w:w="2300"/>
            <w:tcBorders>
              <w:top w:val="single" w:color="2E6DA4" w:sz="4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spacing w:after="0" w:before="0"/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1B3A6B"/>
                <w:sz w:val="20"/>
                <w:szCs w:val="20"/>
              </w:rPr>
              <w:t xml:space="preserve">İskemik İnme
%80–85</w:t>
            </w:r>
          </w:p>
        </w:tc>
        <w:tc>
          <w:tcPr>
            <w:tcW w:type="dxa" w:w="2300"/>
            <w:tcBorders>
              <w:top w:val="single" w:color="2E6DA4" w:sz="4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spacing w:after="0" w:before="0"/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1B3A6B"/>
                <w:sz w:val="20"/>
                <w:szCs w:val="20"/>
              </w:rPr>
              <w:t xml:space="preserve">Hemorajik İnme
%15–20</w:t>
            </w:r>
          </w:p>
        </w:tc>
        <w:tc>
          <w:tcPr>
            <w:tcW w:type="dxa" w:w="2300"/>
            <w:tcBorders>
              <w:top w:val="single" w:color="2E6DA4" w:sz="4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spacing w:after="0" w:before="0"/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1B3A6B"/>
                <w:sz w:val="20"/>
                <w:szCs w:val="20"/>
              </w:rPr>
              <w:t xml:space="preserve">Akut Yönetim
tPA + Trombektomi</w:t>
            </w:r>
          </w:p>
        </w:tc>
        <w:tc>
          <w:tcPr>
            <w:tcW w:type="dxa" w:w="2300"/>
            <w:tcBorders>
              <w:top w:val="single" w:color="2E6DA4" w:sz="4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spacing w:after="0" w:before="0"/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1B3A6B"/>
                <w:sz w:val="20"/>
                <w:szCs w:val="20"/>
              </w:rPr>
              <w:t xml:space="preserve">Gebelik
Özel Durumlar</w:t>
            </w:r>
          </w:p>
        </w:tc>
      </w:tr>
    </w:tbl>
    <w:p>
      <w:pPr>
        <w:spacing w:after="80" w:before="60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1B3A6B" w:sz="24" w:space="0"/>
        </w:pBdr>
        <w:spacing w:after="0" w:before="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Tanım ve Terminoloji</w:t>
      </w:r>
    </w:p>
    <w:p>
      <w:pPr>
        <w:spacing w:after="120" w:before="0"/>
        <w:jc w:val="left"/>
      </w:pPr>
      <w:r>
        <w:rPr>
          <w:rFonts w:ascii="Calibri" w:cs="Calibri" w:eastAsia="Calibri" w:hAnsi="Calibri"/>
          <w:b/>
          <w:bCs/>
          <w:i w:val="false"/>
          <w:iCs w:val="false"/>
          <w:color w:val="1B3A6B"/>
          <w:sz w:val="22"/>
          <w:szCs w:val="22"/>
        </w:rPr>
        <w:t xml:space="preserve">Serebrovasküler olay (SVO)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, serebral kan akımının ani kesilmesi veya intrakraniyal damar rüptürü sonucu gelişen, beyin dokusunda geri dönüşümlü ya da geri dönüşümsüz hasar oluşturan </w:t>
      </w:r>
      <w:r>
        <w:rPr>
          <w:rFonts w:ascii="Calibri" w:cs="Calibri" w:eastAsia="Calibri" w:hAnsi="Calibri"/>
          <w:b/>
          <w:bCs/>
          <w:i w:val="false"/>
          <w:iCs w:val="false"/>
          <w:color w:val="4A5568"/>
          <w:sz w:val="22"/>
          <w:szCs w:val="22"/>
        </w:rPr>
        <w:t xml:space="preserve">akut nörovasküler sendromdur.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WHO Tanımı</w:t>
      </w:r>
    </w:p>
    <w:p>
      <w:pPr>
        <w:spacing w:after="120" w:before="0"/>
        <w:ind/>
        <w:jc w:val="left"/>
      </w:pPr>
      <w:r>
        <w:rPr>
          <w:rFonts w:ascii="Calibri" w:cs="Calibri" w:eastAsia="Calibri" w:hAnsi="Calibri"/>
          <w:b w:val="false"/>
          <w:bCs w:val="false"/>
          <w:i/>
          <w:iCs/>
          <w:color w:val="4A5568"/>
          <w:sz w:val="22"/>
          <w:szCs w:val="22"/>
        </w:rPr>
        <w:t xml:space="preserve">"İnme, vasküler neden dışında açıklanamayan, 24 saatten uzun süren veya ölümle sonuçlanan, hızlı gelişen fokal nörolojik defisit tablosudur."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Modern Tanım — Doku Temelli Yaklaşım (AHA/ASA)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İnme = görüntüleme ile gösterilmiş serebral infarkt veya hemoraji + klinik defisit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Süre kriteri artık tek başına yeterli değildir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DWI-MRI ile erken tanı dakikalar içinde mümkündür</w:t>
      </w:r>
    </w:p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Terminoloji Karşılaştırması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İnme (Stroke)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Beyin dokusunun kalıcı hasarıyla birlikte fokal nörolojik defisit; görüntülemede lezyon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TIA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Doku hasarı yok (DWI negatif); geçici nörolojik disfonksiyon; genellikle &lt;1 saat; ilk 48 saat kritik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Sessiz İnme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Klinik belirti yok, MRI'da lezyon mevcut; demans ve kognitif bozulmayla ilişkili</w:t>
            </w:r>
          </w:p>
        </w:tc>
      </w:tr>
    </w:tbl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2.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Epidemiyoloji</w:t>
      </w:r>
    </w:p>
    <w:p>
      <w:pPr>
        <w:spacing w:after="80" w:before="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İnme, global ölçekte en önemli nörolojik acildir ve ciddi bir halk sağlığı sorunudur.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Temel Epidemiyolojik Veriler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Global sıralama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Dünya genelinde 2. en sık ölüm nedeni; en sık sakatlık nedenlerinden biri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Yıllık insidans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~12 milyon yeni inme vakası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Yıllık mortalite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~6.5 milyon ölüm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Residüel defisit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Sağ kalanların %50'sinde kalıcı nörolojik defisit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Yaşam boyu risk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≈%25 (her 4 kişiden 1'i)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DALY yükü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Global DALY sıralamasında üst sıralarda</w:t>
            </w:r>
          </w:p>
        </w:tc>
      </w:tr>
    </w:tbl>
    <w:p>
      <w:pPr>
        <w:spacing w:after="80" w:before="10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Demografik Özellikler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Yaşla birlikte insidans eksponansiyel artar — 55 yaş sonrası her 10 yılda risk ~2 kat artar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Erkeklerde insidans daha yüksek; kadınlarda mortalite daha yüksek (yaş + hormonal faktörler)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Düşük-orta gelirli ülkelerde artış eğilimi belirginleşmektedir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Coğrafi farklılıklar: Doğu Avrupa ve Orta Asya'da yüksek insidans; Japonya'da hemorajik inme oranı görece fazla</w:t>
      </w:r>
    </w:p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3.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Risk Faktörleri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3.1  Değiştirilebilir Risk Faktörleri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Risk Faktörü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Patofizyolojik Mekanizma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Klinik Önemi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Hipertansiyon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Endotel hasarı → lipohiyalinozis; küçük damar hastalığının ana nedeni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En önemli ve bağımsız risk faktörü; hem iskemik hem hemorajik inmede kritik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Diabetes Mellitus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İleri glikasyon ürünleri (AGEs); mikroanjiyopati; artmış tromboz eğilimi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Endotel disfonksiyonu ve aterosklerozu hızlandırır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Atriyal Fibrilasyon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Sol atriyumda staz → trombüs → MCA embolisi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Kardiyoembolik inmelerin başlıca nedeni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Hiperlipidemi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LDL artışı → plak oluşumu ve ateroskleroz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Büyük damar hastalığında önemli etken; statin hedefi LDL &lt;70 mg/dL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Sigara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NO azalması; platelet agregasyonu ↑; fibrinojen ↑; vazokonstriksiyon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Tüm inme tiplerinde bağımsız risk faktörü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Obezite / Sedanter Yaşam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Metabolik sendrom üzerinden etki; adipokin disregülasyonu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Kronik inflamasyon ve koagülasyon bozukluğuna katkı</w:t>
            </w:r>
          </w:p>
        </w:tc>
      </w:tr>
    </w:tbl>
    <w:p>
      <w:pPr>
        <w:spacing w:after="80" w:before="10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3.2  Değiştirilemez Risk Faktörleri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Yaş — en güçlü risk faktörü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Cinsiyet — erkeklerde insidans daha yüksek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Genetik yatkınlık (APOE, Factor V Leiden polimorfizmleri)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Irk — Afro-Amerikalılarda ve Doğu Avrupa kökenli bireylerde artmış risk</w:t>
      </w:r>
    </w:p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3.3  Güncel / Yeni Risk Faktörleri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Sistemik inflamasyon — yüksek CRP, kronik inflamatuvar durum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Hiperkoagülabilite durumları — APS, trombofili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Uyku apnesi — hipoksi + sempatik aktivasyon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COVID-19 ilişkili tromboz — endotelite bağlı hiperkoagülabilite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Bağırsak mikrobiyotası — yeni araştırma alanı</w:t>
      </w:r>
    </w:p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4.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Etiyoloji ve Sınıflama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4.1  İskemik İnme (%80–85)</w:t>
      </w:r>
    </w:p>
    <w:p>
      <w:pPr>
        <w:spacing w:after="80" w:before="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İskemik inme, beyne giden kan akımının tıkanması sonucu oluşur. TOAST sınıflaması klinik kullanımda yaygındır.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TOAST Alt Tipi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Tanım / Mekanizma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Klinik Özellikler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Large Artery
Atherosclerosis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Karotis veya büyük arterde ≥%70 stenoz; emboli + hipoperfüzyon birlikte olabilir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Aşamalı başlangıç; TIA öyküsü; vasküler bölgeye uygun defisit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Kardiyoembolik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AF, MI sonrası trombüs, kapak hastalıkları; ani maksimum defisit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Kortikal tutulum; hemorajik dönüşüm riski yüksek; ani başlangıç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Small Vessel / Lakünar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Derin penetran arterlerin oklüzyonu; &lt;15 mm lezyon; HT+DM ilişkili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Saf motor, saf duyusal, ataksik hemiparezi; MR'da derin küçük lezyon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Kriptojenik (ESUS)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Embolik kaynaklı ama kaynak saptanamayan; gizli AF önemli neden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%20–30; uzun süreli ritim takibi gerektirir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Diğer Nedenler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Diseksiyon, vaskülit, koagülopati, migren, CADASIL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Özellikle genç inmede araştırılmalı</w:t>
            </w:r>
          </w:p>
        </w:tc>
      </w:tr>
    </w:tbl>
    <w:p>
      <w:pPr>
        <w:spacing w:after="80" w:before="10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4.2  Hemorajik İnme (%15–20)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Tip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En Sık Neden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Tipik Lokasyon / Özellik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İntraserebral Hemoraji (ICH)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Hipertansiyon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Putamen, talamus, pons, serebellum; nörolojik defisit + KBY artışı birlikte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Subaraknoid Kanama (SAK)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Sakküler anevrizma rüptürü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"Thunderclap headache" (hayatının en şiddetli baş ağrısı); vazospazm en önemli komplikasyon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Serebral Venöz Tromboz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Hiperkoagülabilite, gebelik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Başağrısı + fokal defisit; MRV tanısal</w:t>
            </w:r>
          </w:p>
        </w:tc>
      </w:tr>
    </w:tbl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5.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Serebral Dolaşım ve Anatomi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Serebral Kan Akımı — Temel Değerler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Beyin kan akımı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Dakikada 750 mL ≈ kalp debisinin %15'i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Normal CBF değeri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~50 mL/100g/dk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İskemik eşik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CBF &lt;20 mL/100g/dk → iskemi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İnfarkt eşiği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CBF &lt;10 mL/100g/dk → irreversibl hasar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Otoregülasyon aralığı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MAP 60–150 mmHg arasında sabit akım; hipertansiyonda eğri sağa kayar</w:t>
            </w:r>
          </w:p>
        </w:tc>
      </w:tr>
    </w:tbl>
    <w:p>
      <w:pPr>
        <w:spacing w:after="80" w:before="10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Ana Arteriyel Sistemler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Anterior sirkülasyon: ICA → Anterior Serebral Arter (ACA), Orta Serebral Arter (MCA)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Posterior sirkülasyon: Vertebral arterler → Baziler arter → Posterior Serebral Arter (PCA)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Willis Poligonu: Kollateral dolaşımı sağlar; anatomik varyasyonlar klinik öneme sahiptir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Watershed (sınır bölgesi) alanları: ICA–MCA ve MCA–PCA; hipotansiyonda seçici olarak etkilenir</w:t>
      </w:r>
    </w:p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Arter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Besleme Alanı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Klinik Sendrom (Oklüzyon)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MCA (Orta Serebral A.)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Frontal, parietal, temporal korteks; internal kapsül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Kontralateral hemipleji (yüz-kol &gt; bacak), afazi (dominant), hemineglect (non-dominant), hemianopi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ACA (Ant. Serebral A.)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Frontal lob mediali, singulat girus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Bacak dominant güç kaybı, abulia, davranış değişiklikleri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PCA (Post. Serebral A.)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Oksipital lob, talamus, mezensefalon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Homonim hemianopi, görsel agnozi, talamik ağrı, bilinç bozukluğu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Baziler A.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Pons, serebellum, orta beyin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Locked-in sendromu, alternan hemiplejiler, koma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PICA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Lateral medülla, serebellum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Wallenberg sendromu (ipsilateral yüz + kontralateral vücut ağrı kaybı, Horner, ataksi, disfaji)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Derin penetran A.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Bazal ganglionlar, iç kapsül, talamus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Lakünar sendromlar: saf motor, saf duyusal, ataksik hemiparezi</w:t>
            </w:r>
          </w:p>
        </w:tc>
      </w:tr>
    </w:tbl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6.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Patofizyoloji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6.1  İskemik Kaskad — Zaman Bağımlı Süreç</w:t>
      </w:r>
    </w:p>
    <w:p>
      <w:pPr>
        <w:spacing w:after="80" w:before="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İskemik kaskad, nöronların hayatta kalabileceği süreyle doğrudan ilişkili aşamalı bir hasar sürecidir.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Zaman Dilimi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Patofizyolojik Olay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Klinik/Sonuç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Saniyeler içinde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ATP tükenir; Na⁺/K⁺ pompası bozulur; membran depolarizasyonu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Nöronal iletim durur; erken defisit başlar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Dakikalar içinde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Glutamat salınımı → NMDA aktivasyonu → eksitotoksisite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Ca²⁺ influxu; proteaz ve lipaz aktivasyonu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Saatler içinde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Serbest radikal oluşumu; mitokondriyal hasar; nekroz + apoptoz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İskemik çekirdek oluşumu; geri dönüşümsüz hasar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Geç faz (günler)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İnflamasyon (mikroglia aktivasyonu); sitokin salınımı (IL-1, TNF-α); BBB yıkımı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Sekonder hasar; ödem; hemorajik dönüşüm riski</w:t>
            </w:r>
          </w:p>
        </w:tc>
      </w:tr>
    </w:tbl>
    <w:p>
      <w:pPr>
        <w:spacing w:after="80" w:before="10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6.2  Penumbra Konsepti</w:t>
      </w:r>
    </w:p>
    <w:p>
      <w:pPr>
        <w:spacing w:after="80" w:before="0"/>
        <w:jc w:val="left"/>
      </w:pPr>
      <w:r>
        <w:rPr>
          <w:rFonts w:ascii="Calibri" w:cs="Calibri" w:eastAsia="Calibri" w:hAnsi="Calibri"/>
          <w:b/>
          <w:bCs/>
          <w:i w:val="false"/>
          <w:iCs w:val="false"/>
          <w:color w:val="1A6B6B"/>
          <w:sz w:val="22"/>
          <w:szCs w:val="22"/>
        </w:rPr>
        <w:t xml:space="preserve">Penumbra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, iskemik çekirdek etrafında kurtarılabilir doku bölgesidir. Akut inme tedavisinin temel hedefi </w:t>
      </w:r>
      <w:r>
        <w:rPr>
          <w:rFonts w:ascii="Calibri" w:cs="Calibri" w:eastAsia="Calibri" w:hAnsi="Calibri"/>
          <w:b/>
          <w:bCs/>
          <w:i w:val="false"/>
          <w:iCs w:val="false"/>
          <w:color w:val="1B3A6B"/>
          <w:sz w:val="22"/>
          <w:szCs w:val="22"/>
        </w:rPr>
        <w:t xml:space="preserve">penumbrayı infarkt çekirdeğine dönüşmeden önce kurtarmaktır.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Penumbra — Klinik Önemi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İskemik Çekirdek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CBF &lt;10 mL/100g/dk; irreversibl hücre ölümü; dakikalar-saatler içinde oluşur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Penumbra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CBF 10–20 mL/100g/dk; fonksiyon bozuk ama yapı korunmuş; saatler içinde kurtarılabilir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Belirleyiciler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Zaman + kollateral dolaşım kalitesi; 'Time is Brain' kavramının temeli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Görüntüleme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Perfüzyon BT/MRI ile core vs penumbra ayrımı → trombektomi kararı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Reperfüzyon hasarı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ROS artışı; hemorajik transformasyon; paradoks kötüleşme</w:t>
            </w:r>
          </w:p>
        </w:tc>
      </w:tr>
    </w:tbl>
    <w:p>
      <w:pPr>
        <w:spacing w:after="80" w:before="10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6.3  Hemorajik İnme Mekanizması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Damar rüptürü → kanın beyin parankimine veya subaraknoid alana yayılması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Hematomun büyümesi → çevre dokuda baskı + ödem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İntrakraniyal basınç artışı → serebral perfüzyon basıncı azalır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Sekonder iskemi → perihematomal doku hasarı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Pıhtı retraksiyonu ve yıkım ürünleri → gecikmeli toksisite</w:t>
      </w:r>
    </w:p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7.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Klinik Bulgular</w:t>
      </w:r>
    </w:p>
    <w:p>
      <w:pPr>
        <w:spacing w:after="80" w:before="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İnme klinik olarak </w:t>
      </w:r>
      <w:r>
        <w:rPr>
          <w:rFonts w:ascii="Calibri" w:cs="Calibri" w:eastAsia="Calibri" w:hAnsi="Calibri"/>
          <w:b/>
          <w:bCs/>
          <w:i w:val="false"/>
          <w:iCs w:val="false"/>
          <w:color w:val="1B3A6B"/>
          <w:sz w:val="22"/>
          <w:szCs w:val="22"/>
        </w:rPr>
        <w:t xml:space="preserve">ani başlangıçlı fokal nörolojik defisit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 ile karakterizedir. Etkilenen arterin besleme bölgesi, klinik sendromu belirler.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Arteryel Bölgelere Göre Klinik Sendromlar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Sendrom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Klinik Bulgular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Lokalizasyon İpuçları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MCA Sendromu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Kontralateral hemiparezi (yüz-kol &gt; bacak); afazi (dominant hemisfer); hemineglect (non-dominant); homonim hemianopi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Yüz ve kol tutulumu bacaktan fazla ise MCA (internal kapsül superioru)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ACA Sendromu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Bacak dominant güç kaybı; abulia; idrar inkontinansı; yürüyüş apraksi; davranış değişiklikleri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Bacak tutulumu ağırlıklı ise ACA (interhemisferik fissür)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PCA Sendromu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Homonim hemianopi (makula korunabilir); görsel agnozi; prosopagnozi; renk anomisi; talamik tutulumda bilinç bozukluğu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Görsel defisit ağırlıklı; motor defisit minimal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Lakünar Sendromlar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Saf motor (internal kapsül/pons); saf duyusal (talamus VPL); ataksik hemiparezi; dizartri-beceriksiz el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Derin yapı tutulumu; kortikal defisit yok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Posterior Dolaşım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Vertigo, diplopi, disfaji, ataksi, nistagmus, alternant bulgular, bilinç değişikliği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Çapraz bulgular (ipsilateral KS + kontralateral motor/duyu) = beyin sapı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Serebellar İnme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Ani ataksi, denge kaybı, dönme hissi; büyük infarktta ani kötüleşme (bası riski)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Posteriyor fossa; BT'de görülmesi zor; MRI üstün</w:t>
            </w:r>
          </w:p>
        </w:tc>
      </w:tr>
    </w:tbl>
    <w:p>
      <w:pPr>
        <w:spacing w:after="80" w:before="10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FAST Tarama Testi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Harf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İngilizce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Klinik Test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F — Face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Face drooping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Yüzde asimetri — gülümseme asimetrisi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 — Arm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Arm weakness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Kol güçsüzlüğü — iki kolu aynı anda kaldırma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 — Speech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Speech difficulty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Konuşma bozukluğu — bir cümle tekrar ettirme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T — Time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Time to call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Süre — acil servise hemen başvuru</w:t>
            </w:r>
          </w:p>
        </w:tc>
      </w:tr>
    </w:tbl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8.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Tanı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8.1  Klinik Değerlendirme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Klinik Araçlar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NIHSS Skoru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0–4: hafif; 5–14: orta; 15–24: ağır; 25+: çok ağır; tedavi kararı ve prognoz tahmini için kullanılır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FAST Değerlendirme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Yüz, kol, konuşma; pozitif ise hemen ileri merkeze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Onset süresi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En kritik bilgi — son normal görülme zamanı (LKW)</w:t>
            </w:r>
          </w:p>
        </w:tc>
      </w:tr>
    </w:tbl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8.2  Görüntüleme Stratejisi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Yöntem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Kullanım Zamanı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Ne Gösterir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Non-kontrast BT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İlk 20 dakika içinde yapılmalı; kanama dışlama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Hemorajiyi hızla dışlar; erken iskemi bulguları (ASPECT skoru); hızlı ve yaygın erişilebilir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DWI-MRI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BT sonrası veya doğrudan; erken iskemi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Dakikalar içinde pozitif; iskemik çekirdeği gösterir; lakünar inme için üstün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CTA / MRA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Vasküler oklüzyon değerlendirmesi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Büyük damar oklüzyonunu lokalize eder; trombektomi planlamasında kritik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Perfüzyon BT/MRI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Trombektomi kararı için; geniş zaman penceresi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Core (infarkt) vs penumbra ayrımı; reperfüzyon kararını destekler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EKG + Holter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Kardiyoembolik etiyoloji araştırması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Atriyal fibrilasyon tespiti; uzun süreli monitorizasyon (30 gün) ESUS'ta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Ekokardiyografi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Kardiyak emboli kaynağı araştırması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İntrakardiyak trombüs, kapak hastalığı, PFO</w:t>
            </w:r>
          </w:p>
        </w:tc>
      </w:tr>
    </w:tbl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8.3  Laboratuvar Tetkikleri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Kan şekeri (hipoglisemi — inme taklitçisi)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Tam kan sayımı, koagülasyon paneli (INR, PT, aPTT)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Lipid paneli, HbA1c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Trombofili taraması (genç inme, kriptojenik, tekrarlayan)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İnflamatuvar belirteçler (CRP, ESR — vaskülit şüphesinde)</w:t>
      </w:r>
    </w:p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9.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Akut Yönetim</w:t>
      </w:r>
    </w:p>
    <w:p>
      <w:pPr>
        <w:spacing w:after="80" w:before="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Akut inme yönetiminde her dakika değerlidir. </w:t>
      </w:r>
      <w:r>
        <w:rPr>
          <w:rFonts w:ascii="Calibri" w:cs="Calibri" w:eastAsia="Calibri" w:hAnsi="Calibri"/>
          <w:b/>
          <w:bCs/>
          <w:i/>
          <w:iCs/>
          <w:color w:val="C0392B"/>
          <w:sz w:val="22"/>
          <w:szCs w:val="22"/>
        </w:rPr>
        <w:t xml:space="preserve">"Time is Brain"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 — her dakikada yaklaşık 1.9 milyon nöron kaybedilmektedir.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9.1  İlk Yaklaşım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ABC stabilizasyonu (hava yolu, solunum, dolaşım)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Hipoglisemi ve diğer metabolik sebepler dışlanmalı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IV erişim, oksijen, kardiyak monitörizasyon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Vital bulgular: kan basıncı kritik (tedavi öncesi agresif düşürme yapılmamalı)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Son normal görülme zamanı (LKW) kesin olarak belirlenmeli</w:t>
      </w:r>
    </w:p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9.2  İntravenöz Trombolitik Tedavi — tPA (Alteplaz)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tPA — Pratik Uygulama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Zaman penceresi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Semptom başlangıcından itibaren 4.5 saat içinde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Doz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0.9 mg/kg (maks. 90 mg); %10'u IV bolus, geri kalanı 60 dakikada infüzyon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Temel endikasyonlar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NIHSS ≥4; 18 yaş üstü; görüntülemede kanama yok; onset &lt;4.5 saat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Başlıca kontrendikasyonlar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Aktif kanama; INR &gt;1.7; son 3 ayda kafa travması/cerrahi/SVO; büyük infarkt alanı; trombosit &lt;100.000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Hedef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Mümkünse kapı-iğne süresi ≤60 dakika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Monitörizasyon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İlk 24 saat yoğun bakımda; kan basıncı &lt;185/110 mmHg tutulmalı</w:t>
            </w:r>
          </w:p>
        </w:tc>
      </w:tr>
    </w:tbl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9.3  Mekanik Trombektomi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Mekanik Trombektomi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Endikasyon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Büyük damar oklüzyonu (ICA, proksimal MCA, baziler); NIHSS yüksek; görüntüleme uyumlu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Zaman penceresi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Başlangıçtan 6 saat (standart); seçilmiş hastalarda 6–24 saat (DAWN/DEFUSE kriterleri)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Avantaj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tPA ile kombine edilebilir; tPA kontrendikasyonunda tek seçenek; büyük çekirdekte daha etkili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Teknik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Stent retreiver veya aspirasyon kateteri; anjiyografi eşliğinde</w:t>
            </w:r>
          </w:p>
        </w:tc>
      </w:tr>
    </w:tbl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9.4  Hemorajik İnme Yönetimi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Hemorajik İnme — Yönetim Prensipleri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Kan basıncı hedefi (ICH)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SBP &lt;140 mmHg; akut aşamada hızlı düşürme (labetalol, nikardipin IV)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Antikoagülasyon reversal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Warfarin → vitamin K + 4-faktörlü PCC; Dabigatran → idarucizumab; Xa inhibitörleri → andeksanet alfa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ICP yönetimi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Mannitol veya hipertonik salin; baş pozisyonu 30°; sedasyon gerekirse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Cerrahi endikasyon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Serebellar kanama &gt;3 cm veya kötüleşme; hidrosefali; genç hasta, erişilebilir lokasyon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SAK özel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Anevrizma güvenliğe alınmalı (koiling/klipsaj); nimodipin (vazospazm profilaksisi); EVD (hidrosefali)</w:t>
            </w:r>
          </w:p>
        </w:tc>
      </w:tr>
    </w:tbl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10.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Sekonder Koruma</w:t>
      </w:r>
    </w:p>
    <w:p>
      <w:pPr>
        <w:spacing w:after="80" w:before="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İnme sonrası tekrar risk yüksektir — birinci yılda ~%10. Etiyolojiye yönelik tedavi seçimi kritiktir.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Etiyoloji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Önerilen Tedavi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Hedef / Notlar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Non-kardiyoembolik iskemik inme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Antiplatelet (ASA 75–325 mg ± klopidogrel)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Dual antiplatelet ilk 3 haftada TIA/minor inmede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Atriyal Fibrilasyon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DOAC (apixaban, rivaroxaban, dabigatran) — warfarina tercihli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INR 2–3 warfarin; yüksek riskli hasta gruplarında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Büyük damar aterosklerozu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ASA + yüksek doz statin (LDL hedef &lt;70 mg/dL)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Karotis stenoz &gt;70% → endarterektomi veya stent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Hipertansiyon kontrolü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Tüm inme tiplerinde; ACEi/ARB tercihli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Hedef BP &lt;130/80 mmHg uzun dönemde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Lipid yönetimi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Yüksek doz statin (atorvastatin 80 mg)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LDL &lt;70 mg/dL; ezetimib ekleme seçeneği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Yaşam tarzı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Sigara bırakma; düzenli egzersiz; Akdeniz diyeti; kilo kontrolü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Tüm hastalarda uygulanmalı</w:t>
            </w:r>
          </w:p>
        </w:tc>
      </w:tr>
    </w:tbl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11.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Komplikasyonlar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Komplikasyonlar — Erken ve Geç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Serebral ödem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Büyük MCA infarktında pik 2–5. gün; malign ödem → herniasyon; hemikreniektomi düşünülmeli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Herniasyon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Transtentoryal (unkus → CN III baskısı) veya tonsiller; acil cerrahi müdahale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Epileptik nöbet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Erken (%2–10) veya geç; levetiracetam tercih edilir; profilaktik tedavi rutin önerilmez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Aspirasyon pnömonisi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Yutma bozukluğu → en sık enfeksiyöz komplikasyon; kalitatif disfaji değerlendirmesi zorunlu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DVT / Pulmoner Emboli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İmmobilizasyon → alt ekstremite DVT; erken mobilizasyon + DMAH profilaksisi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Post-inme depresyon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İlk 1 yılda %30–50; rehabilitasyonu olumsuz etkiler; SSRI değerlendirilmeli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Kognitif bozukluk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Post-inme demans; sessiz infarktlar birikmesi; vasküler kognitif bozukluk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Spastisite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Üst motor nöron tutulumu; botulinum toksin + fizik tedavi</w:t>
            </w:r>
          </w:p>
        </w:tc>
      </w:tr>
    </w:tbl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12.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Rehabilitasyon ve Nöroplastisite</w:t>
      </w:r>
    </w:p>
    <w:p>
      <w:pPr>
        <w:spacing w:after="80" w:before="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Rehabilitasyon erken dönemde başlandığında nöroplastisite mekanizmaları devreye girer ve fonksiyonel iyileşme belirgin şekilde artar.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Erken mobilizasyon — 24–48 saat içinde; komplikasyonları önler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Yoğun tekrar → sinaptik güçlenme (Long-term potentiation)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Kortikal reorganizasyon — komşu alanlar görevi devralır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Fizik tedavi — güç, denge, koordinasyon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Konuşma ve dil terapisi — afazi rehabilitasyonu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Ergoterapi — günlük yaşam aktiviteleri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Robotik rehabilitasyon — yoğunlaştırılmış tedavi imkânı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Nörostimülasyon (TMS, tDCS) — araştırma aşamasında, umut vadeden</w:t>
      </w:r>
    </w:p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13.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Prognoz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Prognoz Belirleyicileri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NIHSS başlangıç skoru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En güçlü kısa dönem fonksiyonel prognoz belirleyicisi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Yaş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İleri yaş kötü prognozla ilişkili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Tedaviye ulaşım süresi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Erken reperfüzyon → daha iyi sonuç ('Time is Brain')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Reperfüzyon başarısı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TICI 2b-3 rekanalizasyon → dramatik iyileşme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Lezyon büyüklüğü ve lokasyonu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Büyük hemisfer infarktı; dominant hemisfer; beyin sapı tutulumu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Kolateral dolaşım kalitesi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İyi kolateral → penumbra korunur → daha iyi prognoz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Komplikasyonlar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Aspirasyon pnömonisi, PE, erken ödem kötü prognostik faktör</w:t>
            </w:r>
          </w:p>
        </w:tc>
      </w:tr>
    </w:tbl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14.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Özel Durumlar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14.1  Genç İnme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Sık nedenler: Arteriyel diseksiyon (karotis, vertebral); patent foramen ovale (PFO); genetik trombofililer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Kardiyak malformasyonlar: PFO kapatma seçili hastalarda inme tekrarını azaltabilir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CADASIL: NOTCH3 mutasyonu; küçük damar hastalığı; erken başlangıçlı vasküler demans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Genetik trombofili: Faktör V Leiden, protein C/S eksikliği; genç inme + VTE öyküsü araştırılmalı</w:t>
      </w:r>
    </w:p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14.2  Malignite İlişkili İnme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Trousseaux sendromu: Gizli malignite ile ilişkili hiperkoagülabilite; non-bakteriyel trombotik endokardit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Kriptojenik inme + D-dimer yüksekliği → malignite taraması önerilir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Antikoagülasyon: Genellikle LMWH; DOAC seçilmiş tümörlerde</w:t>
      </w:r>
    </w:p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14.3  COVID-19 İlişkili İnme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Endotelit → hiperkoagülabilite → tromboembolik inme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Kardiyoembolik: Miyokardit, AF, aortik trombüs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Genç, komorbiditesiz hastalarda da görülebilir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1"/>
          <w:szCs w:val="21"/>
        </w:rPr>
        <w:t xml:space="preserve">Tedavi: Antikoagülasyon (seçilmiş hastalarda); standart inme yönetimi</w:t>
      </w:r>
    </w:p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15.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Güncel Gelişmeler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Alan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Gelişme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Klinik Önemi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Yapay Zeka (AI)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Görüntü analizi ile otomatik ASPECT skoru, oklüzyon tespiti, perfüzyon analizi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Teşhis süresini kısaltır; uzmansız merkezlerde destek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Yeni Antitrombotikler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Faktör XI inhibitörleri (asundexian); trombosit inhibitörleri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Kanama riski azaltılarak etkinlik artışı hedefleniyor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Nöroprotektif Ajanlar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NMDA antagonistleri, NO donörleri, anti-inflamatuvar ajanlar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Hâlâ klinik çalışma aşamasında; net sonuç yok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Kök Hücre Tedavisi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Mezankimal kök hücreler, nöral progenitör hücreler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Faz 1–2 çalışmaları; umut vadeden ama standart değil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Genişletilmiş Zaman Penceresi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DAWN ve DEFUSE-3 çalışmaları → trombektomide 24 saate uzatma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Uyku inmesinde ve bilinmeyen onset vakalarında yeni seçenek</w:t>
            </w:r>
          </w:p>
        </w:tc>
      </w:tr>
    </w:tbl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16.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Gebelik ve Serebrovasküler Hastalık</w:t>
      </w:r>
    </w:p>
    <w:p>
      <w:pPr>
        <w:spacing w:after="80" w:before="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Geçirilmiş SVO öyküsü olan bir kadında gebelik, </w:t>
      </w:r>
      <w:r>
        <w:rPr>
          <w:rFonts w:ascii="Calibri" w:cs="Calibri" w:eastAsia="Calibri" w:hAnsi="Calibri"/>
          <w:b/>
          <w:bCs/>
          <w:i w:val="false"/>
          <w:iCs w:val="false"/>
          <w:color w:val="C0392B"/>
          <w:sz w:val="22"/>
          <w:szCs w:val="22"/>
        </w:rPr>
        <w:t xml:space="preserve">tekrar inme riskini artırabilir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; ancak doğru etiyolojik sınıflama ve uygun antikoagülasyon ile bu risk büyük ölçüde kontrol edilebilir.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Gebelikte Risk Stratifikasyonu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Risk Grubu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Etiyoloji / Durum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Yönetim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Çok Yüksek Risk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Antifosfolipid sendromu (triple pozitif); mekanik kalp kapağı; kontrolsüz atriyal fibrilasyon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Gebelik ya ertelenir ya da tersiyer merkezde yönetilir; LMWH zorunlu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Yüksek Risk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Atriyal fibrilasyon; kardiyoembolik kaynak; son 6–12 ay inme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Multidisipliner yaklaşım; LMWH + ASA; sıkı monitoring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Orta Risk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Trombofili (kontrol altında); arteriyel diseksiyon öyküsü; hafif rezidüel defisit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LMWH planı; nöroloji + kadın doğum ortak takibi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Düşük Risk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Küçük damar hastalığı; tek, nedeni düzelmiş inme; ≥12 ay önce, minimal defisit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Gebelik çoğu zaman güvenle yönetilebilir; ASA düşünülebilir</w:t>
            </w:r>
          </w:p>
        </w:tc>
      </w:tr>
    </w:tbl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Gebeliğin En Riskli Dönemi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Risk Dönemleri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1. Trimester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Koagülasyon artışı başlar; risk orta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2–3. Trimester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Maksimum kan hacmi + kardiyak output; damar yükü artar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Postpartum (EN KRİTİK)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Koagülasyon en yüksek; dehidratasyon; mobilizasyon azalması; endotel aktivasyonu — klinik inmelerin en sık bu dönemde olduğu bildirilmektedir</w:t>
            </w:r>
          </w:p>
        </w:tc>
      </w:tr>
    </w:tbl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Gebelikte Kırmızı Bayraklar</w:t>
      </w:r>
    </w:p>
    <w:p>
      <w:pPr>
        <w:spacing w:after="60" w:before="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Aşağıdaki bulgular varlığında hasta acil inme açısından değerlendirilmelidir: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200"/>
      </w:tblGrid>
      <w:tr>
        <w:tc>
          <w:tcPr>
            <w:tcW w:type="dxa" w:w="9200"/>
            <w:tcBorders>
              <w:top w:val="single" w:color="C0392B" w:sz="6"/>
              <w:left w:val="single" w:color="C0392B" w:sz="12"/>
              <w:bottom w:val="single" w:color="C0392B" w:sz="3"/>
              <w:right w:val="single" w:color="C0392B" w:sz="3"/>
            </w:tcBorders>
            <w:shd w:fill="FDECEA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80" w:before="6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C0392B"/>
                <w:sz w:val="22"/>
                <w:szCs w:val="22"/>
              </w:rPr>
              <w:t xml:space="preserve">Nörolojik Kırmızı Bayraklar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Ani tek taraflı güç kaybı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Konuşma bozukluğu (afazi/dizartri)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Görme kaybı veya çift görme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Denge kaybı / ataksi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Ani bilinç değişikliği</w:t>
            </w:r>
          </w:p>
        </w:tc>
      </w:tr>
    </w:tbl>
    <w:p>
      <w:pPr>
        <w:spacing w:after="80" w:before="6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200"/>
      </w:tblGrid>
      <w:tr>
        <w:tc>
          <w:tcPr>
            <w:tcW w:type="dxa" w:w="9200"/>
            <w:tcBorders>
              <w:top w:val="single" w:color="B8860B" w:sz="6"/>
              <w:left w:val="single" w:color="B8860B" w:sz="12"/>
              <w:bottom w:val="single" w:color="B8860B" w:sz="3"/>
              <w:right w:val="single" w:color="B8860B" w:sz="3"/>
            </w:tcBorders>
            <w:shd w:fill="FDF3D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80" w:before="6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B8860B"/>
                <w:sz w:val="22"/>
                <w:szCs w:val="22"/>
              </w:rPr>
              <w:t xml:space="preserve">Gebeliğe Özel Kırmızı Bayraklar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Şiddetli başağrısı + hipertansiyon (preeklampsi/PRES)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Görme bulanıklığı + preeklampsi bulguları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Epileptik nöbet — eklampsi vs inme ayrımı kritik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Ani boyun ağrısı — arteriyel diseksiyon şüphesi</w:t>
            </w:r>
          </w:p>
        </w:tc>
      </w:tr>
    </w:tbl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Gebelikte Güvenli Tedavi Seçenekleri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İlaç Seçimi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LMWH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Plasentayı geçmez; tromboemboliyi belirgin azaltır; gebelikte en güvenli antikoagülan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Aspirin (düşük doz)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Platelet aktivitesini azaltır; APS ve preeklampside koruyucu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Warfarin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Plasentayı geçer → fetal risk (özellikle 1. trimester); mekanik kapak dışında kaçınılmalı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DOAC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Gebelikte kontrendike — fetal toksisite nedeniyle</w:t>
            </w:r>
          </w:p>
        </w:tc>
      </w:tr>
    </w:tbl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Gebelik Planlanabilir mi? — Karar Algoritması</w:t>
      </w:r>
    </w:p>
    <w:p>
      <w:pPr>
        <w:spacing w:after="60" w:before="0"/>
        <w:jc w:val="left"/>
      </w:pPr>
      <w:r>
        <w:rPr>
          <w:rFonts w:ascii="Calibri" w:cs="Calibri" w:eastAsia="Calibri" w:hAnsi="Calibri"/>
          <w:b w:val="false"/>
          <w:bCs w:val="false"/>
          <w:i/>
          <w:iCs/>
          <w:color w:val="718096"/>
          <w:sz w:val="22"/>
          <w:szCs w:val="22"/>
        </w:rPr>
        <w:t xml:space="preserve">Bu soru klinikte 'evet/hayır' değil, risk stratifikasyonuna göre karar verilen bir süreçtir.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000"/>
      </w:tblGrid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Karar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Koşullar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1"/>
                <w:szCs w:val="21"/>
              </w:rPr>
              <w:t xml:space="preserve">Yönetim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Uygun (Düşük Risk)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Son inmeden ≥12 ay geçmiş; minimal defisit; neden düzelmiş; trombofili yok; antikoagülasyon gereği yok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Gebelik genellikle güvenle planlanabilir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Mümkün (Orta Risk)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Kontrollü trombofili; stabil kardiyak hastalık; tek eski SVO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LMWH planı + multidisipliner takip zorunlu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Ciddi Risk (Yüksek)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APS; mekanik kapak; kontrolsüz AF; son 6–12 ay inme; aktif vasküler patoloji</w:t>
            </w:r>
          </w:p>
        </w:tc>
        <w:tc>
          <w:tcPr>
            <w:tcW w:type="dxa" w:w="4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D3748"/>
                <w:sz w:val="20"/>
                <w:szCs w:val="20"/>
              </w:rPr>
              <w:t xml:space="preserve">Gebelik ya ertelenir ya da çok özel merkezlerde yönetilir</w:t>
            </w:r>
          </w:p>
        </w:tc>
      </w:tr>
    </w:tbl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120" w:before="0"/>
        <w:jc w:val="left"/>
      </w:pPr>
      <w:r>
        <w:rPr>
          <w:rFonts w:ascii="Calibri" w:cs="Calibri" w:eastAsia="Calibri" w:hAnsi="Calibri"/>
          <w:b/>
          <w:bCs/>
          <w:i w:val="false"/>
          <w:iCs w:val="false"/>
          <w:color w:val="1B3A6B"/>
          <w:sz w:val="22"/>
          <w:szCs w:val="22"/>
        </w:rPr>
        <w:t xml:space="preserve">Nihai Klinik Mesaj: </w:t>
      </w:r>
      <w:r>
        <w:rPr>
          <w:rFonts w:ascii="Calibri" w:cs="Calibri" w:eastAsia="Calibri" w:hAnsi="Calibri"/>
          <w:b w:val="false"/>
          <w:bCs w:val="false"/>
          <w:i/>
          <w:iCs/>
          <w:color w:val="4A5568"/>
          <w:sz w:val="22"/>
          <w:szCs w:val="22"/>
        </w:rPr>
        <w:t xml:space="preserve">"Geçirilmiş SVO öyküsü gebeliği engellemez; ancak gebeliği, etiyolojiye göre değişen ve postpartum dönemde zirve yapan dinamik bir nörovasküler risk yönetimi sürecine dönüştürür."</w:t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17.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Klinik Algoritmalar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Algoritma 1 — Akut İnme Yaklaşımı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ABC stabilizasyonu + vital bulgular + glukoz ölçümü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Son normal görülme zamanı (LKW) belirlenmesi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Non-kontrast BT (ilk 20 dk içinde) — kanama var mı?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Kanama VAR → Hemorajik inme yönetimi (BP kontrolü, reversal, cerrahi değerlendirme)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Kanama YOK → tPA uygunluğu değerlendirmesi (4.5 saat penceresi)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Büyük damar oklüzyonu şüphesi → CTA + trombektomi merkezi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NIHSS, ASPECT, perfüzyon görüntülemesi → trombektomi kararı</w:t>
      </w:r>
    </w:p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Algoritma 2 — Hemorajik İnme Yönetimi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Antikoagülasyon reversal (eğer aktif antikoagülan kullanımı varsa)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SBP hedefi &lt;140 mmHg (labetalol veya nikardipin IV)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ICP yönetimi: baş pozisyonu 30°, mannitol/hipertonik salin gerekirse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SAK → anevrizma güvenliğe alma (koiling/klipsaj) + nimodipin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Serebellar kanama &gt;3 cm veya kötüleşme → acil cerrahi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Hidrosefali → EVD</w:t>
      </w:r>
    </w:p>
    <w:p>
      <w:pPr>
        <w:spacing w:after="80" w:before="8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i w:val="false"/>
          <w:iCs w:val="false"/>
          <w:color w:val="2E6DA4"/>
          <w:sz w:val="24"/>
          <w:szCs w:val="24"/>
        </w:rPr>
        <w:t xml:space="preserve">Algoritma 3 — Sekonder Koruma Kararı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Etiyoloji belirle (TOAST sınıflaması)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AF var → DOAC; kardiyoembolik kaynak → antikoagülasyon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Non-kardiyoembolik → antiplatelet (ASA ± klopidogrel)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LDL ölçümü → statin, hedef LDL &lt;70 mg/dL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BP izlemi → hedef &lt;130/80 mmHg</w:t>
      </w:r>
    </w:p>
    <w:p>
      <w:pPr>
        <w:pStyle w:val="ListParagraph"/>
        <w:numPr>
          <w:ilvl w:val="0"/>
          <w:numId w:val="3"/>
        </w:numPr>
        <w:spacing w:after="24" w:before="24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1"/>
          <w:szCs w:val="21"/>
        </w:rPr>
        <w:t xml:space="preserve">Karotis stenozu &gt;70% → revaskülarizasyon değerlendirme</w:t>
      </w:r>
    </w:p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18.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Vaka Örneği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Klinik Vaka — Sol MCA Oklüzyonu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Hasta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65 yaşında erkek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Başvuru şikayeti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Ani gelişen sağ hemiparezi ve ekspresif afazi — son 45 dakika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Muayene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NIHSS: 14 (orta-ağır); sağ arm/bacak güçsüzlüğü; Broca afazisi; bakış deviasyonu sola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BT bulgusu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Kanama yok; sol MCA bölgesinde erken iskemik değişiklikler (ASPECT: 8)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CTA bulgusu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Sol M1 oklüzyonu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İşlem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IV tPA uygulandı (onset + 50. dakika); sol MCA trombektomisi (onset + 90. dakika); TICI 2b rekanalizasyon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Taburculuk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NIHSS: 4 (hafif); antiplatelet + yüksek doz statin başlandı; kardiyak monitörizasyon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Sonuç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Kısmi ama belirgin nörolojik iyileşme; erken trombektominin önemi</w:t>
            </w:r>
          </w:p>
        </w:tc>
      </w:tr>
    </w:tbl>
    <w:p>
      <w:pPr>
        <w:spacing w:after="80" w:before="12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2E6DA4" w:sz="4" w:space="4"/>
        </w:pBdr>
        <w:spacing w:after="120" w:before="320"/>
      </w:pP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19. </w:t>
      </w:r>
      <w:r>
        <w:rPr>
          <w:rFonts w:ascii="Calibri" w:cs="Calibri" w:eastAsia="Calibri" w:hAnsi="Calibri"/>
          <w:b/>
          <w:bCs/>
          <w:i w:val="false"/>
          <w:iCs w:val="false"/>
          <w:color w:val="0F2347"/>
          <w:sz w:val="28"/>
          <w:szCs w:val="28"/>
        </w:rPr>
        <w:t xml:space="preserve">High-Yield Özet — Sınav İçin Kritik Noktalar</w:t>
      </w: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22"/>
                <w:szCs w:val="22"/>
              </w:rPr>
              <w:t xml:space="preserve">Kritik Klinik Noktalar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6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FFFFFF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En önemli risk faktörü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Hipertansiyon — hem iskemik hem hemorajik inmede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En sık inme tipi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İskemik inme (%80–85)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En sık etkilenen arter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Orta serebral arter (MCA)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İlk görüntüleme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Non-kontrast BT (kanama dışlama)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tPA zaman penceresi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4.5 saat — mümkünse kapı-iğne süresi ≤60 dk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tPA dozu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0.9 mg/kg (maks. 90 mg)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Trombektomi penceresi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6 saat (standart); 6–24 saat (seçilmiş hastalarda)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AF'ta antikoagülasyon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DOAC tercihli (apixaban, rivaroxaban, dabigatran)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LDL hedefi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&lt;70 mg/dL — yüksek doz statin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SAK belirteci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Thunderclap headache ("hayatımın en şiddetli başağrısı")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Wallenberg sendromu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PICA oklüzyonu → ipsilateral yüz + kontralateral vücut ağrı kaybı + Horner + ataksi + disfaji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Locked-in sendromu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Baziler tromboz → bilateral pons infarkı; bilinç korunmuş, sadece göz hareketi var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Gebelikte en riskli dönem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Postpartum dönem (koagülasyon + dehidratasyon + immobilizasyon)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LMWH önemi gebelikte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Plasentayı geçmez; en güvenli antikoagülan seçeneği</w:t>
            </w:r>
          </w:p>
        </w:tc>
      </w:tr>
      <w:tr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B3A6B"/>
                <w:sz w:val="21"/>
                <w:szCs w:val="21"/>
              </w:rPr>
              <w:t xml:space="preserve">Penumbra tedavisi</w:t>
            </w:r>
          </w:p>
        </w:tc>
        <w:tc>
          <w:tcPr>
            <w:tcW w:type="dxa" w:w="6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5568"/>
                <w:sz w:val="21"/>
                <w:szCs w:val="21"/>
              </w:rPr>
              <w:t xml:space="preserve">Erken reperfüzyon — 'Time is Brain'</w:t>
            </w:r>
          </w:p>
        </w:tc>
      </w:tr>
    </w:tbl>
    <w:p>
      <w:pPr>
        <w:spacing w:after="80" w:before="16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pBdr>
          <w:bottom w:val="single" w:color="1B3A6B" w:sz="4" w:space="4"/>
        </w:pBdr>
        <w:spacing w:after="120" w:before="12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80" w:before="6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2D3748"/>
          <w:sz w:val="22"/>
          <w:szCs w:val="22"/>
        </w:rPr>
        <w:t xml:space="preserve"/>
      </w:r>
    </w:p>
    <w:p>
      <w:pPr>
        <w:spacing w:after="40" w:before="0"/>
        <w:jc w:val="center"/>
      </w:pPr>
      <w:r>
        <w:rPr>
          <w:rFonts w:ascii="Calibri" w:cs="Calibri" w:eastAsia="Calibri" w:hAnsi="Calibri"/>
          <w:b/>
          <w:bCs/>
          <w:i w:val="false"/>
          <w:iCs w:val="false"/>
          <w:color w:val="1B3A6B"/>
          <w:sz w:val="22"/>
          <w:szCs w:val="22"/>
        </w:rPr>
        <w:t xml:space="preserve">Hazırlayan: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A5568"/>
          <w:sz w:val="22"/>
          <w:szCs w:val="22"/>
        </w:rPr>
        <w:t xml:space="preserve">Dr. Ömer Aslankan</w:t>
      </w:r>
    </w:p>
    <w:p>
      <w:pPr>
        <w:spacing w:after="0" w:before="0"/>
        <w:jc w:val="center"/>
      </w:pPr>
      <w:r>
        <w:rPr>
          <w:rFonts w:ascii="Calibri" w:cs="Calibri" w:eastAsia="Calibri" w:hAnsi="Calibri"/>
          <w:b w:val="false"/>
          <w:bCs w:val="false"/>
          <w:i/>
          <w:iCs/>
          <w:color w:val="A0AEC0"/>
          <w:sz w:val="18"/>
          <w:szCs w:val="18"/>
        </w:rPr>
        <w:t xml:space="preserve">Bu doküman klinik referans amaçlıdır. Güncel kılavuzlar ve bireysel klinik değerlendirme önceliklidir.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BD5E0" w:sz="2"/>
      </w:pBdr>
      <w:spacing w:after="0" w:before="80"/>
      <w:jc w:val="center"/>
    </w:pPr>
    <w:r>
      <w:rPr>
        <w:rFonts w:ascii="Calibri" w:cs="Calibri" w:eastAsia="Calibri" w:hAnsi="Calibri"/>
        <w:b w:val="false"/>
        <w:bCs w:val="false"/>
        <w:i w:val="false"/>
        <w:iCs w:val="false"/>
        <w:color w:val="718096"/>
        <w:sz w:val="18"/>
        <w:szCs w:val="18"/>
      </w:rPr>
      <w:t xml:space="preserve">Nöroloji — Klinik Referans Dokümantasyonu    |    </w:t>
    </w:r>
    <w:r>
      <w:rPr>
        <w:rFonts w:ascii="Calibri" w:cs="Calibri" w:eastAsia="Calibri" w:hAnsi="Calibri"/>
        <w:b w:val="false"/>
        <w:bCs w:val="false"/>
        <w:i w:val="false"/>
        <w:iCs w:val="false"/>
        <w:color w:val="718096"/>
        <w:sz w:val="18"/>
        <w:szCs w:val="18"/>
      </w:rPr>
      <w:t xml:space="preserve">Sayfa </w:t>
    </w:r>
    <w:r>
      <w:rPr>
        <w:rFonts w:ascii="Calibri" w:cs="Calibri" w:eastAsia="Calibri" w:hAnsi="Calibri"/>
        <w:color w:val="718096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9638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6000"/>
      <w:gridCol w:w="3638"/>
    </w:tblGrid>
    <w:tr>
      <w:tc>
        <w:tcPr>
          <w:tcW w:type="dxa" w:w="6000"/>
          <w:tcBorders>
            <w:top w:val="none" w:color="FFFFFF" w:sz="0"/>
            <w:left w:val="none" w:color="FFFFFF" w:sz="0"/>
            <w:bottom w:val="none" w:color="FFFFFF" w:sz="0"/>
            <w:right w:val="none" w:color="FFFFFF" w:sz="0"/>
          </w:tcBorders>
          <w:shd w:fill="0F2347" w:val="clear"/>
          <w:tcMar>
            <w:top w:type="dxa" w:w="80"/>
            <w:left w:type="dxa" w:w="160"/>
            <w:bottom w:type="dxa" w:w="80"/>
            <w:right w:type="dxa" w:w="80"/>
          </w:tcMar>
        </w:tcPr>
        <w:p>
          <w:pPr>
            <w:spacing w:after="0" w:before="0"/>
          </w:pPr>
          <w:r>
            <w:rPr>
              <w:rFonts w:ascii="Calibri" w:cs="Calibri" w:eastAsia="Calibri" w:hAnsi="Calibri"/>
              <w:b/>
              <w:bCs/>
              <w:i w:val="false"/>
              <w:iCs w:val="false"/>
              <w:color w:val="FFFFFF"/>
              <w:sz w:val="18"/>
              <w:szCs w:val="18"/>
            </w:rPr>
            <w:t xml:space="preserve">Serebrovasküler Olay (SVO / İnme)</w:t>
          </w:r>
        </w:p>
      </w:tc>
      <w:tc>
        <w:tcPr>
          <w:tcW w:type="dxa" w:w="3638"/>
          <w:tcBorders>
            <w:top w:val="none" w:color="FFFFFF" w:sz="0"/>
            <w:left w:val="none" w:color="FFFFFF" w:sz="0"/>
            <w:bottom w:val="none" w:color="FFFFFF" w:sz="0"/>
            <w:right w:val="none" w:color="FFFFFF" w:sz="0"/>
          </w:tcBorders>
          <w:shd w:fill="2E6DA4" w:val="clear"/>
          <w:tcMar>
            <w:top w:type="dxa" w:w="80"/>
            <w:left w:type="dxa" w:w="80"/>
            <w:bottom w:type="dxa" w:w="80"/>
            <w:right w:type="dxa" w:w="160"/>
          </w:tcMar>
        </w:tcPr>
        <w:p>
          <w:pPr>
            <w:spacing w:after="0" w:before="0"/>
            <w:jc w:val="right"/>
          </w:pPr>
          <w:r>
            <w:rPr>
              <w:rFonts w:ascii="Calibri" w:cs="Calibri" w:eastAsia="Calibri" w:hAnsi="Calibri"/>
              <w:b w:val="false"/>
              <w:bCs w:val="false"/>
              <w:i/>
              <w:iCs/>
              <w:color w:val="FFFFFF"/>
              <w:sz w:val="18"/>
              <w:szCs w:val="18"/>
            </w:rPr>
            <w:t xml:space="preserve">Dr. Ömer Aslankan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00" w:hanging="280"/>
      </w:pPr>
    </w:lvl>
    <w:lvl w:ilvl="1" w15:tentative="1">
      <w:start w:val="1"/>
      <w:numFmt w:val="bullet"/>
      <w:lvlText w:val="○"/>
      <w:lvlJc w:val="left"/>
      <w:pPr>
        <w:ind w:left="860" w:hanging="280"/>
      </w:pPr>
    </w:lvl>
    <w:lvl w:ilvl="2" w15:tentative="1">
      <w:start w:val="1"/>
      <w:numFmt w:val="bullet"/>
      <w:lvlText w:val="■"/>
      <w:lvlJc w:val="left"/>
      <w:pPr>
        <w:ind w:left="1220" w:hanging="28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00" w:hanging="28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50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D3748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2026-04-30T20:44:43.237Z</dcterms:created>
  <dcterms:modified xsi:type="dcterms:W3CDTF">2026-04-30T20:44:43.238Z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